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F9" w:rsidRDefault="001363BF">
      <w:pPr>
        <w:pStyle w:val="arial11"/>
        <w:ind w:left="1440" w:hanging="1440"/>
        <w:rPr>
          <w:b/>
        </w:rPr>
      </w:pPr>
      <w:r>
        <w:rPr>
          <w:b/>
        </w:rPr>
        <w:t>Pension Fund Committee</w:t>
      </w:r>
    </w:p>
    <w:p w:rsidR="000965F9" w:rsidRDefault="00515989">
      <w:r>
        <w:t>Meeting to be held on 27 March 2015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0965F9">
        <w:tc>
          <w:tcPr>
            <w:tcW w:w="3260" w:type="dxa"/>
          </w:tcPr>
          <w:p w:rsidR="000965F9" w:rsidRDefault="000965F9">
            <w:pPr>
              <w:pStyle w:val="BodyText"/>
            </w:pPr>
            <w:r>
              <w:t>Electoral Division affected:</w:t>
            </w:r>
          </w:p>
          <w:p w:rsidR="000965F9" w:rsidRDefault="001363BF">
            <w:pPr>
              <w:rPr>
                <w:u w:val="single"/>
              </w:rPr>
            </w:pPr>
            <w:r>
              <w:t>None</w:t>
            </w:r>
          </w:p>
        </w:tc>
      </w:tr>
    </w:tbl>
    <w:p w:rsidR="000965F9" w:rsidRDefault="000965F9">
      <w:pPr>
        <w:rPr>
          <w:u w:val="single"/>
        </w:rPr>
      </w:pPr>
    </w:p>
    <w:p w:rsidR="00515989" w:rsidRDefault="00515989">
      <w:pPr>
        <w:rPr>
          <w:b/>
        </w:rPr>
      </w:pPr>
      <w:r>
        <w:rPr>
          <w:b/>
        </w:rPr>
        <w:t>Transaction of Urgent Business</w:t>
      </w:r>
    </w:p>
    <w:p w:rsidR="00515989" w:rsidRDefault="00515989">
      <w:pPr>
        <w:rPr>
          <w:b/>
        </w:rPr>
      </w:pPr>
    </w:p>
    <w:p w:rsidR="000965F9" w:rsidRDefault="000965F9">
      <w:r>
        <w:t>Contact for further information:</w:t>
      </w:r>
    </w:p>
    <w:p w:rsidR="000965F9" w:rsidRDefault="00515989">
      <w:r>
        <w:t>Chris Mather</w:t>
      </w:r>
      <w:r w:rsidR="000965F9">
        <w:t xml:space="preserve">, </w:t>
      </w:r>
      <w:r w:rsidR="001363BF">
        <w:t>01772 53</w:t>
      </w:r>
      <w:r>
        <w:t>35</w:t>
      </w:r>
      <w:r w:rsidR="001363BF">
        <w:t>5</w:t>
      </w:r>
      <w:r>
        <w:t>9</w:t>
      </w:r>
      <w:r w:rsidR="000965F9">
        <w:t xml:space="preserve">, </w:t>
      </w:r>
      <w:r>
        <w:t>Office of the Chief Executive</w:t>
      </w:r>
      <w:r w:rsidR="001504BA">
        <w:t>,</w:t>
      </w:r>
    </w:p>
    <w:p w:rsidR="001504BA" w:rsidRDefault="00BF6164">
      <w:hyperlink r:id="rId7" w:history="1">
        <w:r w:rsidR="00515989" w:rsidRPr="00B304F0">
          <w:rPr>
            <w:rStyle w:val="Hyperlink"/>
          </w:rPr>
          <w:t>chris.mather@lancashire.gov.uk</w:t>
        </w:r>
      </w:hyperlink>
    </w:p>
    <w:p w:rsidR="000965F9" w:rsidRDefault="000965F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965F9">
        <w:tc>
          <w:tcPr>
            <w:tcW w:w="9180" w:type="dxa"/>
          </w:tcPr>
          <w:p w:rsidR="000965F9" w:rsidRDefault="000965F9">
            <w:pPr>
              <w:pStyle w:val="Header"/>
            </w:pPr>
          </w:p>
          <w:p w:rsidR="000965F9" w:rsidRDefault="000965F9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715ED6" w:rsidRDefault="00715ED6" w:rsidP="00715ED6"/>
          <w:p w:rsidR="00715ED6" w:rsidRDefault="00715ED6" w:rsidP="00715ED6">
            <w:r>
              <w:t>This report sets out an item that has been dealt with under the procedure for dealing with matters of Urgent Business.</w:t>
            </w:r>
          </w:p>
          <w:p w:rsidR="00715ED6" w:rsidRDefault="00715ED6" w:rsidP="00715ED6"/>
          <w:p w:rsidR="00715ED6" w:rsidRDefault="00715ED6" w:rsidP="00715ED6">
            <w:pPr>
              <w:pStyle w:val="Heading5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715ED6" w:rsidRDefault="00715ED6" w:rsidP="00715ED6"/>
          <w:p w:rsidR="00715ED6" w:rsidRDefault="00715ED6" w:rsidP="00715ED6">
            <w:r>
              <w:t>The Committee is asked to note the report.</w:t>
            </w:r>
          </w:p>
          <w:p w:rsidR="00103F4F" w:rsidRDefault="00103F4F" w:rsidP="009E24EA"/>
        </w:tc>
      </w:tr>
    </w:tbl>
    <w:p w:rsidR="000965F9" w:rsidRDefault="000965F9">
      <w:pPr>
        <w:pStyle w:val="Header"/>
      </w:pPr>
    </w:p>
    <w:p w:rsidR="001504BA" w:rsidRDefault="001504BA" w:rsidP="001504BA">
      <w:pPr>
        <w:rPr>
          <w:b/>
        </w:rPr>
      </w:pPr>
      <w:r>
        <w:rPr>
          <w:b/>
        </w:rPr>
        <w:t xml:space="preserve">Background and Advice </w:t>
      </w:r>
    </w:p>
    <w:p w:rsidR="002214B6" w:rsidRDefault="002214B6" w:rsidP="001504BA">
      <w:pPr>
        <w:rPr>
          <w:b/>
        </w:rPr>
      </w:pPr>
    </w:p>
    <w:p w:rsidR="00BF6164" w:rsidRDefault="009E24EA" w:rsidP="00586C8D">
      <w:r>
        <w:t>From time to time it is necessary for the Fund to transition assets from an existing investment manager or fund to another.  In order to undertake such a transition, the Pension Fund has previously appointed a bench of transition managers who operate under a framework agreement and can be appointed through a mini competition process.</w:t>
      </w:r>
      <w:r w:rsidR="00BF6164">
        <w:t xml:space="preserve">  </w:t>
      </w:r>
      <w:r>
        <w:t xml:space="preserve">The existing bench was appointed in December 2010 and the current agreement was due to expire on 31 January 2015.  </w:t>
      </w:r>
    </w:p>
    <w:p w:rsidR="00BF6164" w:rsidRDefault="00BF6164" w:rsidP="00586C8D"/>
    <w:p w:rsidR="00586C8D" w:rsidRPr="00586C8D" w:rsidRDefault="00BF6164" w:rsidP="00586C8D">
      <w:r>
        <w:t>A</w:t>
      </w:r>
      <w:r>
        <w:t xml:space="preserve"> procurement exercise </w:t>
      </w:r>
      <w:r>
        <w:t xml:space="preserve">has been </w:t>
      </w:r>
      <w:r>
        <w:t>undertaken</w:t>
      </w:r>
      <w:r>
        <w:t xml:space="preserve"> </w:t>
      </w:r>
      <w:r w:rsidR="009E24EA">
        <w:t xml:space="preserve">to ensure the Fund has a bench of transition managers after </w:t>
      </w:r>
      <w:r>
        <w:t xml:space="preserve">31 January 2015.  </w:t>
      </w:r>
      <w:r w:rsidR="009E24EA">
        <w:t>As the next meeting of the Committee was not until 27 March 2015 t</w:t>
      </w:r>
      <w:r w:rsidR="00715ED6" w:rsidRPr="00586C8D">
        <w:t xml:space="preserve">he County Treasurer, </w:t>
      </w:r>
      <w:r w:rsidR="00586C8D" w:rsidRPr="00586C8D">
        <w:t xml:space="preserve">as </w:t>
      </w:r>
      <w:r w:rsidR="00715ED6" w:rsidRPr="00586C8D">
        <w:t xml:space="preserve">Treasurer </w:t>
      </w:r>
      <w:r w:rsidR="009E24EA">
        <w:t xml:space="preserve">to </w:t>
      </w:r>
      <w:r w:rsidR="00715ED6" w:rsidRPr="00586C8D">
        <w:t xml:space="preserve">the Pension Fund, has </w:t>
      </w:r>
      <w:r w:rsidR="00586C8D">
        <w:t xml:space="preserve">under the Council's Urgent Business Procedure </w:t>
      </w:r>
      <w:r w:rsidR="00586C8D" w:rsidRPr="00586C8D">
        <w:t xml:space="preserve">approved the appointment of the following companies onto the </w:t>
      </w:r>
      <w:r w:rsidR="00586C8D">
        <w:t xml:space="preserve">Fund's </w:t>
      </w:r>
      <w:r w:rsidR="00586C8D" w:rsidRPr="00586C8D">
        <w:t>transition bench with effect from 1 February 2015 for a period of two years with the option to extend this for a further two years:</w:t>
      </w:r>
    </w:p>
    <w:p w:rsidR="00586C8D" w:rsidRPr="00586C8D" w:rsidRDefault="00586C8D" w:rsidP="00586C8D"/>
    <w:p w:rsidR="00586C8D" w:rsidRPr="00586C8D" w:rsidRDefault="00586C8D" w:rsidP="00586C8D">
      <w:pPr>
        <w:pStyle w:val="ListParagraph"/>
        <w:numPr>
          <w:ilvl w:val="0"/>
          <w:numId w:val="3"/>
        </w:numPr>
      </w:pPr>
      <w:proofErr w:type="spellStart"/>
      <w:r w:rsidRPr="00586C8D">
        <w:t>BlackRock</w:t>
      </w:r>
      <w:proofErr w:type="spellEnd"/>
      <w:r w:rsidRPr="00586C8D">
        <w:t xml:space="preserve"> Advisers (UK) Ltd;</w:t>
      </w:r>
    </w:p>
    <w:p w:rsidR="00586C8D" w:rsidRPr="00586C8D" w:rsidRDefault="00586C8D" w:rsidP="00586C8D">
      <w:pPr>
        <w:pStyle w:val="ListParagraph"/>
        <w:numPr>
          <w:ilvl w:val="0"/>
          <w:numId w:val="3"/>
        </w:numPr>
      </w:pPr>
      <w:r w:rsidRPr="00586C8D">
        <w:t>Citigroup Global Markets Ltd;</w:t>
      </w:r>
    </w:p>
    <w:p w:rsidR="00586C8D" w:rsidRPr="00586C8D" w:rsidRDefault="00586C8D" w:rsidP="00586C8D">
      <w:pPr>
        <w:pStyle w:val="ListParagraph"/>
        <w:numPr>
          <w:ilvl w:val="0"/>
          <w:numId w:val="3"/>
        </w:numPr>
      </w:pPr>
      <w:r w:rsidRPr="00586C8D">
        <w:t>Goldman Sachs International;</w:t>
      </w:r>
    </w:p>
    <w:p w:rsidR="00586C8D" w:rsidRPr="00586C8D" w:rsidRDefault="00586C8D" w:rsidP="00586C8D">
      <w:pPr>
        <w:pStyle w:val="ListParagraph"/>
        <w:numPr>
          <w:ilvl w:val="0"/>
          <w:numId w:val="3"/>
        </w:numPr>
      </w:pPr>
      <w:r w:rsidRPr="00586C8D">
        <w:t>Legal and General Investment Management Limited;</w:t>
      </w:r>
    </w:p>
    <w:p w:rsidR="00586C8D" w:rsidRPr="00586C8D" w:rsidRDefault="00586C8D" w:rsidP="00586C8D">
      <w:pPr>
        <w:pStyle w:val="ListParagraph"/>
        <w:numPr>
          <w:ilvl w:val="0"/>
          <w:numId w:val="3"/>
        </w:numPr>
      </w:pPr>
      <w:r w:rsidRPr="00586C8D">
        <w:t>Macquarie Capital (Europe) Ltd;</w:t>
      </w:r>
    </w:p>
    <w:p w:rsidR="00586C8D" w:rsidRPr="00586C8D" w:rsidRDefault="00586C8D" w:rsidP="00586C8D">
      <w:pPr>
        <w:pStyle w:val="ListParagraph"/>
        <w:numPr>
          <w:ilvl w:val="0"/>
          <w:numId w:val="3"/>
        </w:numPr>
      </w:pPr>
      <w:r w:rsidRPr="00586C8D">
        <w:t>Nomura International Plc;</w:t>
      </w:r>
    </w:p>
    <w:p w:rsidR="00586C8D" w:rsidRPr="00586C8D" w:rsidRDefault="00586C8D" w:rsidP="00586C8D">
      <w:pPr>
        <w:pStyle w:val="ListParagraph"/>
        <w:numPr>
          <w:ilvl w:val="0"/>
          <w:numId w:val="3"/>
        </w:numPr>
      </w:pPr>
      <w:r w:rsidRPr="00586C8D">
        <w:t>The Northern Trust Company; and</w:t>
      </w:r>
    </w:p>
    <w:p w:rsidR="00715ED6" w:rsidRPr="00586C8D" w:rsidRDefault="00586C8D" w:rsidP="00586C8D">
      <w:pPr>
        <w:pStyle w:val="ListParagraph"/>
        <w:numPr>
          <w:ilvl w:val="0"/>
          <w:numId w:val="3"/>
        </w:numPr>
      </w:pPr>
      <w:r w:rsidRPr="00586C8D">
        <w:t>Russell Implementation Services Ltd.</w:t>
      </w:r>
    </w:p>
    <w:p w:rsidR="00586C8D" w:rsidRPr="00586C8D" w:rsidRDefault="00586C8D" w:rsidP="00715ED6"/>
    <w:p w:rsidR="00715ED6" w:rsidRDefault="00586C8D" w:rsidP="00715ED6">
      <w:r>
        <w:t xml:space="preserve">The </w:t>
      </w:r>
      <w:r w:rsidR="00715ED6" w:rsidRPr="00586C8D">
        <w:t xml:space="preserve">chair and deputy chair of the Pension Fund Committee were consulted and supported the proposed action.  </w:t>
      </w:r>
    </w:p>
    <w:p w:rsidR="000965F9" w:rsidRDefault="000965F9">
      <w:pPr>
        <w:pStyle w:val="Heading1"/>
      </w:pPr>
      <w:r>
        <w:lastRenderedPageBreak/>
        <w:t>Consultations</w:t>
      </w:r>
    </w:p>
    <w:p w:rsidR="000965F9" w:rsidRDefault="000965F9">
      <w:pPr>
        <w:pStyle w:val="Header"/>
      </w:pPr>
    </w:p>
    <w:p w:rsidR="000965F9" w:rsidRDefault="00585F70">
      <w:r>
        <w:t>LCC Procurement Team</w:t>
      </w:r>
    </w:p>
    <w:p w:rsidR="008D4306" w:rsidRDefault="008D4306"/>
    <w:p w:rsidR="001504BA" w:rsidRDefault="001504BA" w:rsidP="001504BA">
      <w:r>
        <w:rPr>
          <w:b/>
        </w:rPr>
        <w:t>Implications</w:t>
      </w:r>
      <w:r>
        <w:t xml:space="preserve">: </w:t>
      </w:r>
    </w:p>
    <w:p w:rsidR="001504BA" w:rsidRDefault="001504BA" w:rsidP="001504BA"/>
    <w:p w:rsidR="001504BA" w:rsidRDefault="001504BA" w:rsidP="001504BA">
      <w:r>
        <w:t>This item has the following implications, as indicated:</w:t>
      </w:r>
    </w:p>
    <w:p w:rsidR="001504BA" w:rsidRDefault="001504BA" w:rsidP="001504BA"/>
    <w:p w:rsidR="001504BA" w:rsidRPr="00092B2F" w:rsidRDefault="001504BA" w:rsidP="001504BA">
      <w:pPr>
        <w:rPr>
          <w:b/>
        </w:rPr>
      </w:pPr>
      <w:r w:rsidRPr="00092B2F">
        <w:rPr>
          <w:b/>
        </w:rPr>
        <w:t>Risk management</w:t>
      </w:r>
    </w:p>
    <w:p w:rsidR="001504BA" w:rsidRDefault="001504BA" w:rsidP="001504BA"/>
    <w:p w:rsidR="001504BA" w:rsidRDefault="00585F70" w:rsidP="001504BA">
      <w:r>
        <w:t>No significant risks have been identified.</w:t>
      </w:r>
    </w:p>
    <w:p w:rsidR="00BC766C" w:rsidRDefault="00BC766C" w:rsidP="001504BA"/>
    <w:p w:rsidR="00585F70" w:rsidRPr="00585F70" w:rsidRDefault="00585F70" w:rsidP="001504BA">
      <w:pPr>
        <w:rPr>
          <w:b/>
        </w:rPr>
      </w:pPr>
      <w:r w:rsidRPr="00585F70">
        <w:rPr>
          <w:b/>
        </w:rPr>
        <w:t>Financial</w:t>
      </w:r>
    </w:p>
    <w:p w:rsidR="00585F70" w:rsidRDefault="00585F70" w:rsidP="001504BA"/>
    <w:p w:rsidR="00585F70" w:rsidRDefault="000463C2" w:rsidP="001504BA">
      <w:r>
        <w:t>The appointment of the transition bench has no immediate cost to the County Council, as administering authority of Lancashire County Pension Fund.  A transition manager will only be appointed for specific work when a transition is required.  At this point a mini competition will be undertaken and the manager from the bench who proposes the best offer on a price and quality basis will be appointed.</w:t>
      </w:r>
    </w:p>
    <w:p w:rsidR="000463C2" w:rsidRDefault="000463C2" w:rsidP="001504BA"/>
    <w:p w:rsidR="00585F70" w:rsidRPr="008D4306" w:rsidRDefault="008D4306" w:rsidP="001504BA">
      <w:pPr>
        <w:rPr>
          <w:b/>
        </w:rPr>
      </w:pPr>
      <w:r w:rsidRPr="008D4306">
        <w:rPr>
          <w:b/>
        </w:rPr>
        <w:t>Legal</w:t>
      </w:r>
    </w:p>
    <w:p w:rsidR="001504BA" w:rsidRDefault="001504BA" w:rsidP="001504BA"/>
    <w:p w:rsidR="008D4306" w:rsidRDefault="008D4306" w:rsidP="008D4306">
      <w:pPr>
        <w:pStyle w:val="BodyText"/>
      </w:pPr>
      <w:r>
        <w:t>The County Council, as administering authority of Lancashire</w:t>
      </w:r>
      <w:r w:rsidR="00490CF6">
        <w:t xml:space="preserve"> County</w:t>
      </w:r>
      <w:r>
        <w:t xml:space="preserve"> Pension Fund, will enter </w:t>
      </w:r>
      <w:r w:rsidR="00B153CF">
        <w:t>in</w:t>
      </w:r>
      <w:r>
        <w:t xml:space="preserve">to a </w:t>
      </w:r>
      <w:r w:rsidR="000463C2">
        <w:t>framework agreement with the companies on the bench</w:t>
      </w:r>
      <w:r>
        <w:t xml:space="preserve">. </w:t>
      </w:r>
    </w:p>
    <w:p w:rsidR="008D4306" w:rsidRDefault="008D4306" w:rsidP="001504BA"/>
    <w:p w:rsidR="000965F9" w:rsidRDefault="000965F9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0965F9" w:rsidRDefault="000965F9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0965F9" w:rsidRDefault="000965F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0965F9">
        <w:tc>
          <w:tcPr>
            <w:tcW w:w="3227" w:type="dxa"/>
          </w:tcPr>
          <w:p w:rsidR="000965F9" w:rsidRDefault="000965F9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:rsidR="000965F9" w:rsidRDefault="000965F9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0965F9" w:rsidRDefault="000965F9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Contact/Directorate/</w:t>
            </w:r>
            <w:r w:rsidR="00D7299D">
              <w:rPr>
                <w:rFonts w:ascii="Arial" w:hAnsi="Arial"/>
                <w:u w:val="none"/>
              </w:rPr>
              <w:t>Tel</w:t>
            </w:r>
          </w:p>
        </w:tc>
      </w:tr>
      <w:tr w:rsidR="000965F9">
        <w:tc>
          <w:tcPr>
            <w:tcW w:w="3227" w:type="dxa"/>
          </w:tcPr>
          <w:p w:rsidR="00BF6164" w:rsidRDefault="00BF6164">
            <w:pPr>
              <w:rPr>
                <w:szCs w:val="24"/>
              </w:rPr>
            </w:pPr>
          </w:p>
          <w:p w:rsidR="00585F70" w:rsidRPr="00382EDE" w:rsidRDefault="00BF6164">
            <w:pPr>
              <w:rPr>
                <w:szCs w:val="24"/>
              </w:rPr>
            </w:pPr>
            <w:r>
              <w:rPr>
                <w:szCs w:val="24"/>
              </w:rPr>
              <w:t>N/A</w:t>
            </w:r>
          </w:p>
          <w:p w:rsidR="00EC440B" w:rsidRPr="00382EDE" w:rsidRDefault="00EC440B">
            <w:pPr>
              <w:rPr>
                <w:szCs w:val="24"/>
              </w:rPr>
            </w:pPr>
          </w:p>
        </w:tc>
        <w:tc>
          <w:tcPr>
            <w:tcW w:w="2775" w:type="dxa"/>
          </w:tcPr>
          <w:p w:rsidR="00EC440B" w:rsidRPr="00382EDE" w:rsidRDefault="00EC440B">
            <w:pPr>
              <w:rPr>
                <w:szCs w:val="24"/>
              </w:rPr>
            </w:pPr>
          </w:p>
        </w:tc>
        <w:tc>
          <w:tcPr>
            <w:tcW w:w="3178" w:type="dxa"/>
          </w:tcPr>
          <w:p w:rsidR="000965F9" w:rsidRPr="00382EDE" w:rsidRDefault="000965F9">
            <w:pPr>
              <w:rPr>
                <w:szCs w:val="24"/>
              </w:rPr>
            </w:pPr>
          </w:p>
        </w:tc>
      </w:tr>
      <w:tr w:rsidR="000965F9">
        <w:tc>
          <w:tcPr>
            <w:tcW w:w="9180" w:type="dxa"/>
            <w:gridSpan w:val="3"/>
          </w:tcPr>
          <w:p w:rsidR="000965F9" w:rsidRDefault="000965F9">
            <w:bookmarkStart w:id="0" w:name="_GoBack"/>
            <w:bookmarkEnd w:id="0"/>
            <w:r>
              <w:t>Reason for inclusion in Part II, if appropriate</w:t>
            </w:r>
          </w:p>
          <w:p w:rsidR="000965F9" w:rsidRDefault="000965F9"/>
          <w:p w:rsidR="000965F9" w:rsidRDefault="00490CF6" w:rsidP="009A33AB">
            <w:r>
              <w:t>N/A</w:t>
            </w:r>
          </w:p>
        </w:tc>
      </w:tr>
    </w:tbl>
    <w:p w:rsidR="000965F9" w:rsidRDefault="000965F9" w:rsidP="00BF6164"/>
    <w:sectPr w:rsidR="000965F9" w:rsidSect="0061433E">
      <w:footerReference w:type="default" r:id="rId8"/>
      <w:footerReference w:type="first" r:id="rId9"/>
      <w:type w:val="continuous"/>
      <w:pgSz w:w="11907" w:h="16840" w:code="9"/>
      <w:pgMar w:top="1276" w:right="1440" w:bottom="851" w:left="1440" w:header="720" w:footer="306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CC" w:rsidRDefault="003274CC">
      <w:r>
        <w:separator/>
      </w:r>
    </w:p>
  </w:endnote>
  <w:endnote w:type="continuationSeparator" w:id="0">
    <w:p w:rsidR="003274CC" w:rsidRDefault="0032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3274CC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274CC" w:rsidRDefault="003274CC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3274CC" w:rsidRDefault="003274CC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3274CC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274CC" w:rsidRDefault="003274CC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74CC" w:rsidRDefault="003274CC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CC" w:rsidRDefault="003274CC">
      <w:r>
        <w:separator/>
      </w:r>
    </w:p>
  </w:footnote>
  <w:footnote w:type="continuationSeparator" w:id="0">
    <w:p w:rsidR="003274CC" w:rsidRDefault="0032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660A"/>
    <w:multiLevelType w:val="hybridMultilevel"/>
    <w:tmpl w:val="9880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B6024"/>
    <w:multiLevelType w:val="hybridMultilevel"/>
    <w:tmpl w:val="DBE22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93F77"/>
    <w:multiLevelType w:val="hybridMultilevel"/>
    <w:tmpl w:val="3B546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0BC9"/>
    <w:multiLevelType w:val="hybridMultilevel"/>
    <w:tmpl w:val="8C4CC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272CA4"/>
    <w:multiLevelType w:val="hybridMultilevel"/>
    <w:tmpl w:val="74EA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F9"/>
    <w:rsid w:val="000463C2"/>
    <w:rsid w:val="00075401"/>
    <w:rsid w:val="000965F9"/>
    <w:rsid w:val="000A1D3F"/>
    <w:rsid w:val="000A5A5A"/>
    <w:rsid w:val="00103F4F"/>
    <w:rsid w:val="001363BF"/>
    <w:rsid w:val="00146158"/>
    <w:rsid w:val="001504BA"/>
    <w:rsid w:val="001636AA"/>
    <w:rsid w:val="00192641"/>
    <w:rsid w:val="001A0A85"/>
    <w:rsid w:val="001A2115"/>
    <w:rsid w:val="00204B3A"/>
    <w:rsid w:val="00215E07"/>
    <w:rsid w:val="002214B6"/>
    <w:rsid w:val="00257395"/>
    <w:rsid w:val="002644A3"/>
    <w:rsid w:val="00282D47"/>
    <w:rsid w:val="002B6B2A"/>
    <w:rsid w:val="003024BC"/>
    <w:rsid w:val="0030483D"/>
    <w:rsid w:val="003068B4"/>
    <w:rsid w:val="003156CD"/>
    <w:rsid w:val="003274CC"/>
    <w:rsid w:val="00337433"/>
    <w:rsid w:val="00364CCF"/>
    <w:rsid w:val="00382626"/>
    <w:rsid w:val="00382EDE"/>
    <w:rsid w:val="00395325"/>
    <w:rsid w:val="003A09CA"/>
    <w:rsid w:val="003C16C8"/>
    <w:rsid w:val="003C6662"/>
    <w:rsid w:val="0047021C"/>
    <w:rsid w:val="004848FA"/>
    <w:rsid w:val="0048646C"/>
    <w:rsid w:val="00490CF6"/>
    <w:rsid w:val="004A1741"/>
    <w:rsid w:val="004D4AAF"/>
    <w:rsid w:val="0051340A"/>
    <w:rsid w:val="00515989"/>
    <w:rsid w:val="005503FE"/>
    <w:rsid w:val="00571369"/>
    <w:rsid w:val="00585F70"/>
    <w:rsid w:val="00586C8D"/>
    <w:rsid w:val="005B7714"/>
    <w:rsid w:val="005D60AA"/>
    <w:rsid w:val="005E6ABC"/>
    <w:rsid w:val="0061433E"/>
    <w:rsid w:val="006433B8"/>
    <w:rsid w:val="00693717"/>
    <w:rsid w:val="0069462A"/>
    <w:rsid w:val="006A2048"/>
    <w:rsid w:val="006C77C2"/>
    <w:rsid w:val="006D3F98"/>
    <w:rsid w:val="00703146"/>
    <w:rsid w:val="00715ED6"/>
    <w:rsid w:val="00727749"/>
    <w:rsid w:val="007502F6"/>
    <w:rsid w:val="00780ACB"/>
    <w:rsid w:val="007839DC"/>
    <w:rsid w:val="00790AD2"/>
    <w:rsid w:val="00797EA3"/>
    <w:rsid w:val="0081142C"/>
    <w:rsid w:val="00867805"/>
    <w:rsid w:val="008817C2"/>
    <w:rsid w:val="008909DD"/>
    <w:rsid w:val="008C293B"/>
    <w:rsid w:val="008D4306"/>
    <w:rsid w:val="00940996"/>
    <w:rsid w:val="00966E09"/>
    <w:rsid w:val="009715EE"/>
    <w:rsid w:val="009827CA"/>
    <w:rsid w:val="009A33AB"/>
    <w:rsid w:val="009E24EA"/>
    <w:rsid w:val="009F0A5E"/>
    <w:rsid w:val="00A51EBF"/>
    <w:rsid w:val="00A61F50"/>
    <w:rsid w:val="00A76341"/>
    <w:rsid w:val="00A81764"/>
    <w:rsid w:val="00AA28CB"/>
    <w:rsid w:val="00AF668E"/>
    <w:rsid w:val="00B058E8"/>
    <w:rsid w:val="00B153CF"/>
    <w:rsid w:val="00B23EB4"/>
    <w:rsid w:val="00B524AC"/>
    <w:rsid w:val="00B56325"/>
    <w:rsid w:val="00BC766C"/>
    <w:rsid w:val="00BF2E0A"/>
    <w:rsid w:val="00BF6164"/>
    <w:rsid w:val="00C74309"/>
    <w:rsid w:val="00C8076C"/>
    <w:rsid w:val="00D02B97"/>
    <w:rsid w:val="00D34BD4"/>
    <w:rsid w:val="00D53DFF"/>
    <w:rsid w:val="00D7299D"/>
    <w:rsid w:val="00D76AB4"/>
    <w:rsid w:val="00DC664B"/>
    <w:rsid w:val="00DD586A"/>
    <w:rsid w:val="00E06AAC"/>
    <w:rsid w:val="00E538DA"/>
    <w:rsid w:val="00E547C1"/>
    <w:rsid w:val="00EA2568"/>
    <w:rsid w:val="00EB152B"/>
    <w:rsid w:val="00EC440B"/>
    <w:rsid w:val="00F44D0B"/>
    <w:rsid w:val="00F73E9F"/>
    <w:rsid w:val="00FA554D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5FBFEB81-D131-4700-9DC5-CEB2550D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D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90AD2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AD2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790AD2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790AD2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AD2"/>
  </w:style>
  <w:style w:type="paragraph" w:customStyle="1" w:styleId="arial11">
    <w:name w:val="arial11"/>
    <w:basedOn w:val="Normal"/>
    <w:rsid w:val="00790AD2"/>
  </w:style>
  <w:style w:type="paragraph" w:styleId="BodyText">
    <w:name w:val="Body Text"/>
    <w:basedOn w:val="Normal"/>
    <w:rsid w:val="00790AD2"/>
  </w:style>
  <w:style w:type="paragraph" w:styleId="Footer">
    <w:name w:val="footer"/>
    <w:basedOn w:val="Normal"/>
    <w:rsid w:val="00790A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0AD2"/>
  </w:style>
  <w:style w:type="paragraph" w:styleId="BalloonText">
    <w:name w:val="Balloon Text"/>
    <w:basedOn w:val="Normal"/>
    <w:semiHidden/>
    <w:rsid w:val="00783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Char">
    <w:name w:val="List Char"/>
    <w:basedOn w:val="DefaultParagraphFont"/>
    <w:link w:val="List"/>
    <w:rsid w:val="00F73E9F"/>
    <w:rPr>
      <w:rFonts w:ascii="Arial" w:hAnsi="Arial"/>
      <w:sz w:val="24"/>
      <w:szCs w:val="24"/>
      <w:lang w:eastAsia="en-US"/>
    </w:rPr>
  </w:style>
  <w:style w:type="paragraph" w:styleId="List">
    <w:name w:val="List"/>
    <w:basedOn w:val="Normal"/>
    <w:link w:val="ListChar"/>
    <w:rsid w:val="00F73E9F"/>
    <w:pPr>
      <w:ind w:left="283" w:hanging="283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50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66C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715ED6"/>
    <w:rPr>
      <w:rFonts w:ascii="Univers" w:hAnsi="Univers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.mather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320</TotalTime>
  <Pages>2</Pages>
  <Words>413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Committee/Sub Committee</vt:lpstr>
    </vt:vector>
  </TitlesOfParts>
  <Company> 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Committee/Sub Committee</dc:title>
  <dc:subject/>
  <dc:creator>rdmcm</dc:creator>
  <cp:keywords/>
  <dc:description>04.08.2009</dc:description>
  <cp:lastModifiedBy>Mather, Chris</cp:lastModifiedBy>
  <cp:revision>4</cp:revision>
  <cp:lastPrinted>2015-01-16T16:08:00Z</cp:lastPrinted>
  <dcterms:created xsi:type="dcterms:W3CDTF">2015-03-06T11:45:00Z</dcterms:created>
  <dcterms:modified xsi:type="dcterms:W3CDTF">2015-03-11T16:47:00Z</dcterms:modified>
</cp:coreProperties>
</file>